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108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Корпоративные финансы (продвинутый уровень)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mainContent"/>
      <w:bookmarkEnd w:id="1"/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дисциплины:</w:t>
      </w:r>
    </w:p>
    <w:p w:rsidR="00821552" w:rsidRPr="00F108C5" w:rsidRDefault="00821552" w:rsidP="008215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>формирование у будущих магистров современных знаний в области организации и управления корпоративными финансами, а также приобретение навыков принятия финансовых решений.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дисциплины в структуре ОП:</w:t>
      </w:r>
    </w:p>
    <w:p w:rsidR="00316798" w:rsidRPr="001C3AAC" w:rsidRDefault="00316798" w:rsidP="00316798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входит в модуль  дисциплин, </w:t>
      </w:r>
      <w:proofErr w:type="spellStart"/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>инвариативных</w:t>
      </w:r>
      <w:proofErr w:type="spellEnd"/>
      <w:r w:rsidRPr="001C3AA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направления подготовки, отражающих специфику вуза, по направлению 38.04.01 «Экономика» (магистерская программа «Учет и корпоративные финансы»).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Краткое содержание: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>Генезис теории корпоративных финансов; модели и стандарты раскрытия корпоративной финансовой информации; финансовые агрегаты, их экспресс-диагностика, инструменты К-анализа).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использование капитала компании: эволюция теории капитала и его современные трактовки; особенности формирования и управления собственным и заемным капиталом, капиталом, авансированным во внеоборотные и оборотные активы; управление совокупным капиталом и особенности </w:t>
      </w:r>
      <w:proofErr w:type="spellStart"/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>asset</w:t>
      </w:r>
      <w:proofErr w:type="spellEnd"/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>-менеджмента; концепции управления структурой капитала и критерии оптимального финансирования.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оборотом капитала. Ценовая политика как фактор генерирования доходов; механизм </w:t>
      </w:r>
      <w:r w:rsidR="008D7F6F" w:rsidRPr="00F108C5">
        <w:rPr>
          <w:rFonts w:ascii="Times New Roman" w:eastAsia="Times New Roman" w:hAnsi="Times New Roman"/>
          <w:sz w:val="24"/>
          <w:szCs w:val="24"/>
          <w:lang w:eastAsia="ru-RU"/>
        </w:rPr>
        <w:t>затрат образования</w:t>
      </w: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управление операционными издержками; эволюция прибыли и ее современные трактовки; CVP-анализ и его влияние на принятие финансовых решений; налоги и их влияние на финансовый результат.</w:t>
      </w:r>
    </w:p>
    <w:p w:rsidR="00821552" w:rsidRPr="00F108C5" w:rsidRDefault="00821552" w:rsidP="00821552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8C5">
        <w:rPr>
          <w:rFonts w:ascii="Times New Roman" w:eastAsia="Times New Roman" w:hAnsi="Times New Roman"/>
          <w:sz w:val="24"/>
          <w:szCs w:val="24"/>
          <w:lang w:eastAsia="ru-RU"/>
        </w:rPr>
        <w:t>Современные финансовые технологии и практики: рост компании как стратегический приоритет; корпоративный рост и его интерпретация в VBM-концепции и российском бизнесе; современные технологии финансового планирования и прогнозирования; технология балансового моделирования и ее применение в финансовом планировании.</w:t>
      </w:r>
    </w:p>
    <w:p w:rsidR="00E65E70" w:rsidRPr="00F108C5" w:rsidRDefault="00E65E70"/>
    <w:sectPr w:rsidR="00E65E70" w:rsidRPr="00F1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B5E"/>
    <w:multiLevelType w:val="multilevel"/>
    <w:tmpl w:val="659E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52"/>
    <w:rsid w:val="00316798"/>
    <w:rsid w:val="00770659"/>
    <w:rsid w:val="00821552"/>
    <w:rsid w:val="008D7F6F"/>
    <w:rsid w:val="008F1C4F"/>
    <w:rsid w:val="00E65E70"/>
    <w:rsid w:val="00F1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487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A1ED8-36C8-4F28-B287-5CBCDCE5EB32}"/>
</file>

<file path=customXml/itemProps2.xml><?xml version="1.0" encoding="utf-8"?>
<ds:datastoreItem xmlns:ds="http://schemas.openxmlformats.org/officeDocument/2006/customXml" ds:itemID="{A941E2BD-CF3D-41B6-AA9E-3727566209E3}"/>
</file>

<file path=customXml/itemProps3.xml><?xml version="1.0" encoding="utf-8"?>
<ds:datastoreItem xmlns:ds="http://schemas.openxmlformats.org/officeDocument/2006/customXml" ds:itemID="{4051D781-4DF2-4793-A8FF-46A2C8850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2018-06-16T13:25:00Z</dcterms:created>
  <dcterms:modified xsi:type="dcterms:W3CDTF">2020-03-03T20:27:00Z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